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ackground w:color="ffffff"/>
  <w:body>
    <w:p>
      <w:pPr>
        <w:pStyle w:val="style0"/>
        <w:ind w:firstLine="420"/>
        <w:jc w:val="center"/>
        <w:rPr>
          <w:rFonts w:ascii="宋体" w:eastAsia="宋体" w:hAnsi="宋体"/>
          <w:b/>
          <w:bCs/>
          <w:color w:val="000000"/>
          <w:szCs w:val="21"/>
        </w:rPr>
      </w:pPr>
      <w:bookmarkStart w:id="0" w:name="_Toc2247"/>
      <w:bookmarkStart w:id="1" w:name="_Toc26868"/>
      <w:bookmarkStart w:id="2" w:name="_Toc21218"/>
      <w:bookmarkStart w:id="3" w:name="_Toc9898"/>
      <w:bookmarkStart w:id="4" w:name="_Toc13729"/>
      <w:bookmarkStart w:id="5" w:name="_Toc12099"/>
      <w:r>
        <w:rPr>
          <w:rFonts w:ascii="宋体" w:eastAsia="宋体" w:hAnsi="宋体" w:hint="eastAsia"/>
          <w:b/>
          <w:bCs/>
          <w:color w:val="000000"/>
          <w:sz w:val="24"/>
        </w:rPr>
        <w:t>远程动态心电招标参数</w:t>
      </w:r>
    </w:p>
    <w:p>
      <w:pPr>
        <w:pStyle w:val="style0"/>
        <w:ind w:firstLine="420"/>
        <w:rPr>
          <w:rFonts w:ascii="宋体" w:eastAsia="宋体" w:hAnsi="宋体"/>
          <w:b/>
          <w:bCs/>
          <w:color w:val="000000"/>
          <w:szCs w:val="21"/>
        </w:rPr>
      </w:pPr>
      <w:r>
        <w:rPr>
          <w:rFonts w:ascii="宋体" w:eastAsia="宋体" w:hAnsi="宋体" w:hint="eastAsia"/>
          <w:b/>
          <w:bCs/>
          <w:color w:val="000000"/>
          <w:szCs w:val="21"/>
        </w:rPr>
        <w:t>一、硬件</w:t>
      </w:r>
      <w:r>
        <w:rPr>
          <w:rFonts w:ascii="宋体" w:eastAsia="宋体" w:hAnsi="宋体" w:hint="eastAsia"/>
          <w:b/>
          <w:bCs/>
          <w:color w:val="000000"/>
          <w:szCs w:val="21"/>
        </w:rPr>
        <w:t>要求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采集盒：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1.1外形精巧，体积小，设备重量≤80g,方便受检者佩戴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1.2存储方式及容量： SD卡存储，容量≥1G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*1.3采集盒为彩色屏幕显示波形，可以查看电极连接情况及病人信息。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1.4具有事件按钮，可以准确记录事件发生的时间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1.5灵活的数据传输方式，同时支持SD卡拔</w:t>
      </w:r>
      <w:r>
        <w:rPr>
          <w:rFonts w:ascii="宋体" w:eastAsia="宋体" w:hAnsi="宋体" w:hint="eastAsia"/>
          <w:color w:val="000000"/>
          <w:szCs w:val="21"/>
        </w:rPr>
        <w:t>插方式</w:t>
      </w:r>
      <w:r>
        <w:rPr>
          <w:rFonts w:ascii="宋体" w:eastAsia="宋体" w:hAnsi="宋体" w:hint="eastAsia"/>
          <w:color w:val="000000"/>
          <w:szCs w:val="21"/>
        </w:rPr>
        <w:t>和USB2.0高速直接数据读取方式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*1.6 防水设计，记录盒可靠性更好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1.7</w:t>
      </w:r>
      <w:r>
        <w:rPr>
          <w:rFonts w:ascii="宋体" w:eastAsia="宋体" w:hAnsi="宋体" w:hint="eastAsia"/>
          <w:color w:val="000000"/>
          <w:szCs w:val="21"/>
        </w:rPr>
        <w:t xml:space="preserve">频率响应：0.05～60Hz 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*</w:t>
      </w:r>
      <w:r>
        <w:rPr>
          <w:rFonts w:ascii="宋体" w:eastAsia="宋体" w:hAnsi="宋体"/>
          <w:color w:val="000000"/>
          <w:szCs w:val="21"/>
        </w:rPr>
        <w:t>1.8</w:t>
      </w:r>
      <w:r>
        <w:rPr>
          <w:rFonts w:ascii="宋体" w:eastAsia="宋体" w:hAnsi="宋体" w:hint="eastAsia"/>
          <w:color w:val="000000"/>
          <w:szCs w:val="21"/>
        </w:rPr>
        <w:t xml:space="preserve">输入阻抗：≥20MΩ  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1.9</w:t>
      </w:r>
      <w:r>
        <w:rPr>
          <w:rFonts w:ascii="宋体" w:eastAsia="宋体" w:hAnsi="宋体" w:hint="eastAsia"/>
          <w:color w:val="000000"/>
          <w:szCs w:val="21"/>
        </w:rPr>
        <w:t>噪声电平：≤50μ</w:t>
      </w:r>
      <w:r>
        <w:rPr>
          <w:rFonts w:ascii="宋体" w:eastAsia="宋体" w:hAnsi="宋体" w:hint="eastAsia"/>
          <w:color w:val="000000"/>
          <w:szCs w:val="21"/>
        </w:rPr>
        <w:t>Vp</w:t>
      </w:r>
      <w:r>
        <w:rPr>
          <w:rFonts w:ascii="宋体" w:eastAsia="宋体" w:hAnsi="宋体" w:hint="eastAsia"/>
          <w:color w:val="000000"/>
          <w:szCs w:val="21"/>
        </w:rPr>
        <w:t>-p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1.10</w:t>
      </w:r>
      <w:r>
        <w:rPr>
          <w:rFonts w:ascii="宋体" w:eastAsia="宋体" w:hAnsi="宋体" w:hint="eastAsia"/>
          <w:color w:val="000000"/>
          <w:szCs w:val="21"/>
        </w:rPr>
        <w:t xml:space="preserve">极化电压：±300mV          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1.11</w:t>
      </w:r>
      <w:r>
        <w:rPr>
          <w:rFonts w:ascii="宋体" w:eastAsia="宋体" w:hAnsi="宋体" w:hint="eastAsia"/>
          <w:color w:val="000000"/>
          <w:szCs w:val="21"/>
        </w:rPr>
        <w:t xml:space="preserve">共模抑制比（CMRR）：≥100dB             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1.12</w:t>
      </w:r>
      <w:r>
        <w:rPr>
          <w:rFonts w:ascii="宋体" w:eastAsia="宋体" w:hAnsi="宋体" w:hint="eastAsia"/>
          <w:color w:val="000000"/>
          <w:szCs w:val="21"/>
        </w:rPr>
        <w:t xml:space="preserve">记录通道：12通道 /3通道 ，根据导联线自适应，不需要手工调节          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*</w:t>
      </w:r>
      <w:r>
        <w:rPr>
          <w:rFonts w:ascii="宋体" w:eastAsia="宋体" w:hAnsi="宋体"/>
          <w:color w:val="000000"/>
          <w:szCs w:val="21"/>
        </w:rPr>
        <w:t>1.13</w:t>
      </w:r>
      <w:r>
        <w:rPr>
          <w:rFonts w:ascii="宋体" w:eastAsia="宋体" w:hAnsi="宋体" w:hint="eastAsia"/>
          <w:color w:val="000000"/>
          <w:szCs w:val="21"/>
        </w:rPr>
        <w:t>采样率： ≥</w:t>
      </w:r>
      <w:r>
        <w:rPr>
          <w:rFonts w:ascii="宋体" w:eastAsia="宋体" w:hAnsi="宋体"/>
          <w:color w:val="000000"/>
          <w:szCs w:val="21"/>
        </w:rPr>
        <w:t xml:space="preserve">25.6 </w:t>
      </w:r>
      <w:r>
        <w:rPr>
          <w:rFonts w:ascii="宋体" w:eastAsia="宋体" w:hAnsi="宋体"/>
          <w:color w:val="000000"/>
          <w:szCs w:val="21"/>
        </w:rPr>
        <w:t>ksps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 xml:space="preserve">  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1.14</w:t>
      </w:r>
      <w:r>
        <w:rPr>
          <w:rFonts w:ascii="宋体" w:eastAsia="宋体" w:hAnsi="宋体" w:hint="eastAsia"/>
          <w:color w:val="000000"/>
          <w:szCs w:val="21"/>
        </w:rPr>
        <w:t>采样率存储格式：可设置为 128、256、512、1024。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1.15 </w:t>
      </w:r>
      <w:r>
        <w:rPr>
          <w:rFonts w:ascii="宋体" w:eastAsia="宋体" w:hAnsi="宋体" w:hint="eastAsia"/>
          <w:color w:val="000000"/>
          <w:szCs w:val="21"/>
        </w:rPr>
        <w:t>A/D转换精度：24位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1.16</w:t>
      </w:r>
      <w:r>
        <w:rPr>
          <w:rFonts w:ascii="宋体" w:eastAsia="宋体" w:hAnsi="宋体" w:hint="eastAsia"/>
          <w:color w:val="000000"/>
          <w:szCs w:val="21"/>
        </w:rPr>
        <w:t>仅需要一节7号（AAA）电池就可以实现大于72小时数据监测</w:t>
      </w:r>
    </w:p>
    <w:p>
      <w:pPr>
        <w:pStyle w:val="style0"/>
        <w:ind w:firstLine="420"/>
        <w:rPr>
          <w:rFonts w:ascii="宋体" w:eastAsia="宋体" w:hAnsi="宋体"/>
          <w:b/>
          <w:bCs/>
          <w:color w:val="000000"/>
          <w:szCs w:val="21"/>
        </w:rPr>
      </w:pPr>
      <w:r>
        <w:rPr>
          <w:rFonts w:ascii="宋体" w:eastAsia="宋体" w:hAnsi="宋体" w:hint="eastAsia"/>
          <w:b/>
          <w:bCs/>
          <w:color w:val="000000"/>
          <w:szCs w:val="21"/>
        </w:rPr>
        <w:t>二、</w:t>
      </w:r>
      <w:r>
        <w:rPr>
          <w:rFonts w:ascii="宋体" w:eastAsia="宋体" w:hAnsi="宋体" w:hint="eastAsia"/>
          <w:b/>
          <w:bCs/>
          <w:color w:val="000000"/>
          <w:szCs w:val="21"/>
        </w:rPr>
        <w:t>软件要求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.1软件同时兼容3/12导联记录盒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2.2</w:t>
      </w:r>
      <w:r>
        <w:rPr>
          <w:rFonts w:ascii="宋体" w:eastAsia="宋体" w:hAnsi="宋体" w:hint="eastAsia"/>
          <w:color w:val="000000"/>
          <w:szCs w:val="21"/>
        </w:rPr>
        <w:t xml:space="preserve"> 重分析功能，软件可定义任意时间干扰不分析段。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2.3</w:t>
      </w:r>
      <w:r>
        <w:rPr>
          <w:rFonts w:ascii="宋体" w:eastAsia="宋体" w:hAnsi="宋体" w:hint="eastAsia"/>
          <w:color w:val="000000"/>
          <w:szCs w:val="21"/>
        </w:rPr>
        <w:t>具有叠加反混淆分析功能，模板聚类后可将模扳的内的心电波形叠加,并能根据形态差异辨出所需要的心搏并加以修改，可浏览、分析、修改波形；具有不小于5个叠加</w:t>
      </w:r>
      <w:r>
        <w:rPr>
          <w:rFonts w:ascii="宋体" w:eastAsia="宋体" w:hAnsi="宋体" w:hint="eastAsia"/>
          <w:color w:val="000000"/>
          <w:szCs w:val="21"/>
        </w:rPr>
        <w:t>子分析窗</w:t>
      </w:r>
      <w:r>
        <w:rPr>
          <w:rFonts w:ascii="宋体" w:eastAsia="宋体" w:hAnsi="宋体" w:hint="eastAsia"/>
          <w:color w:val="000000"/>
          <w:szCs w:val="21"/>
        </w:rPr>
        <w:t>。 支持叠加图和直方图的联动分析和修改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*</w:t>
      </w:r>
      <w:r>
        <w:rPr>
          <w:rFonts w:ascii="宋体" w:eastAsia="宋体" w:hAnsi="宋体"/>
          <w:color w:val="000000"/>
          <w:szCs w:val="21"/>
        </w:rPr>
        <w:t>2.4</w:t>
      </w:r>
      <w:r>
        <w:rPr>
          <w:rFonts w:ascii="宋体" w:eastAsia="宋体" w:hAnsi="宋体" w:hint="eastAsia"/>
          <w:color w:val="000000"/>
          <w:szCs w:val="21"/>
        </w:rPr>
        <w:t>具有Lorenz散点图逆向</w:t>
      </w:r>
      <w:r>
        <w:rPr>
          <w:rFonts w:ascii="宋体" w:eastAsia="宋体" w:hAnsi="宋体" w:hint="eastAsia"/>
          <w:color w:val="000000"/>
          <w:szCs w:val="21"/>
        </w:rPr>
        <w:t>编辑条图功能</w:t>
      </w:r>
      <w:r>
        <w:rPr>
          <w:rFonts w:ascii="宋体" w:eastAsia="宋体" w:hAnsi="宋体" w:hint="eastAsia"/>
          <w:color w:val="000000"/>
          <w:szCs w:val="21"/>
        </w:rPr>
        <w:t>，可以单独显示每个小时的Lorenz散点图。支持散点图和叠加图联合分析。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2.5</w:t>
      </w:r>
      <w:r>
        <w:rPr>
          <w:rFonts w:ascii="宋体" w:eastAsia="宋体" w:hAnsi="宋体" w:hint="eastAsia"/>
          <w:color w:val="000000"/>
          <w:szCs w:val="21"/>
        </w:rPr>
        <w:t>软件对记录的所有动态心电图数据的ST</w:t>
      </w:r>
      <w:r>
        <w:rPr>
          <w:rFonts w:ascii="宋体" w:eastAsia="宋体" w:hAnsi="宋体" w:hint="eastAsia"/>
          <w:color w:val="000000"/>
          <w:szCs w:val="21"/>
        </w:rPr>
        <w:t>段变化</w:t>
      </w:r>
      <w:r>
        <w:rPr>
          <w:rFonts w:ascii="宋体" w:eastAsia="宋体" w:hAnsi="宋体" w:hint="eastAsia"/>
          <w:color w:val="000000"/>
          <w:szCs w:val="21"/>
        </w:rPr>
        <w:t>进行统计总结，显示ST</w:t>
      </w:r>
      <w:r>
        <w:rPr>
          <w:rFonts w:ascii="宋体" w:eastAsia="宋体" w:hAnsi="宋体" w:hint="eastAsia"/>
          <w:color w:val="000000"/>
          <w:szCs w:val="21"/>
        </w:rPr>
        <w:t>段变化</w:t>
      </w:r>
      <w:r>
        <w:rPr>
          <w:rFonts w:ascii="宋体" w:eastAsia="宋体" w:hAnsi="宋体" w:hint="eastAsia"/>
          <w:color w:val="000000"/>
          <w:szCs w:val="21"/>
        </w:rPr>
        <w:t>的趋势；可快速的查找各个时间点心电图和ST段变化，可修改/添加ST事件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2.6</w:t>
      </w:r>
      <w:r>
        <w:rPr>
          <w:rFonts w:ascii="宋体" w:eastAsia="宋体" w:hAnsi="宋体" w:hint="eastAsia"/>
          <w:color w:val="000000"/>
          <w:szCs w:val="21"/>
        </w:rPr>
        <w:t xml:space="preserve"> 具有瀑布图功能，便于观察P-R间期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2.7</w:t>
      </w:r>
      <w:r>
        <w:rPr>
          <w:rFonts w:ascii="宋体" w:eastAsia="宋体" w:hAnsi="宋体" w:hint="eastAsia"/>
          <w:color w:val="000000"/>
          <w:szCs w:val="21"/>
        </w:rPr>
        <w:t>可以对AOO、VOO、AAI、VVI、DDD等十六种起搏器进行分析。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2.8</w:t>
      </w:r>
      <w:r>
        <w:rPr>
          <w:rFonts w:ascii="宋体" w:eastAsia="宋体" w:hAnsi="宋体" w:hint="eastAsia"/>
          <w:color w:val="000000"/>
          <w:szCs w:val="21"/>
        </w:rPr>
        <w:t>心率变异分析：从R-R间期散点图、时域趋势图、频域趋势图、时域趋势表、频域趋势表、长时程心率变异、心率变异</w:t>
      </w:r>
      <w:r>
        <w:rPr>
          <w:rFonts w:ascii="宋体" w:eastAsia="宋体" w:hAnsi="宋体" w:hint="eastAsia"/>
          <w:color w:val="000000"/>
          <w:szCs w:val="21"/>
        </w:rPr>
        <w:t>三维图</w:t>
      </w:r>
      <w:r>
        <w:rPr>
          <w:rFonts w:ascii="宋体" w:eastAsia="宋体" w:hAnsi="宋体" w:hint="eastAsia"/>
          <w:color w:val="000000"/>
          <w:szCs w:val="21"/>
        </w:rPr>
        <w:t>七方面进行分析，分析全面到位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2.9</w:t>
      </w:r>
      <w:r>
        <w:rPr>
          <w:rFonts w:ascii="宋体" w:eastAsia="宋体" w:hAnsi="宋体" w:hint="eastAsia"/>
          <w:color w:val="000000"/>
          <w:szCs w:val="21"/>
        </w:rPr>
        <w:t>具有专门的房扑、房</w:t>
      </w:r>
      <w:r>
        <w:rPr>
          <w:rFonts w:ascii="宋体" w:eastAsia="宋体" w:hAnsi="宋体" w:hint="eastAsia"/>
          <w:color w:val="000000"/>
          <w:szCs w:val="21"/>
        </w:rPr>
        <w:t>颤分析</w:t>
      </w:r>
      <w:r>
        <w:rPr>
          <w:rFonts w:ascii="宋体" w:eastAsia="宋体" w:hAnsi="宋体" w:hint="eastAsia"/>
          <w:color w:val="000000"/>
          <w:szCs w:val="21"/>
        </w:rPr>
        <w:t>功能，可以预测心梗患者的死亡危险</w:t>
      </w:r>
      <w:r>
        <w:rPr>
          <w:rFonts w:ascii="宋体" w:eastAsia="宋体" w:hAnsi="宋体" w:hint="eastAsia"/>
          <w:color w:val="000000"/>
          <w:szCs w:val="21"/>
        </w:rPr>
        <w:t>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产品认证：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2.10</w:t>
      </w:r>
      <w:r>
        <w:rPr>
          <w:rFonts w:ascii="宋体" w:eastAsia="宋体" w:hAnsi="宋体" w:hint="eastAsia"/>
          <w:color w:val="000000"/>
          <w:szCs w:val="21"/>
        </w:rPr>
        <w:t>产品通过欧盟CE认证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>.11</w:t>
      </w:r>
      <w:r>
        <w:rPr>
          <w:rFonts w:ascii="宋体" w:eastAsia="宋体" w:hAnsi="宋体" w:hint="eastAsia"/>
          <w:color w:val="000000"/>
          <w:szCs w:val="21"/>
        </w:rPr>
        <w:t>荣</w:t>
      </w:r>
      <w:r>
        <w:rPr>
          <w:rFonts w:ascii="宋体" w:eastAsia="宋体" w:hAnsi="宋体" w:hint="eastAsia"/>
          <w:color w:val="000000"/>
          <w:szCs w:val="21"/>
        </w:rPr>
        <w:t>获FDA、CE认证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>.1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生产厂家具备医疗器械生产企业许可证</w:t>
      </w:r>
      <w:r>
        <w:rPr>
          <w:rFonts w:ascii="宋体" w:eastAsia="宋体" w:hAnsi="宋体" w:hint="eastAsia"/>
          <w:color w:val="000000"/>
          <w:szCs w:val="21"/>
        </w:rPr>
        <w:t>及</w:t>
      </w:r>
      <w:r>
        <w:rPr>
          <w:rFonts w:ascii="宋体" w:eastAsia="宋体" w:hAnsi="宋体" w:hint="eastAsia"/>
          <w:color w:val="000000"/>
          <w:szCs w:val="21"/>
        </w:rPr>
        <w:t>通过ISO13485和ISO14001认证。</w:t>
      </w:r>
    </w:p>
    <w:p>
      <w:pPr>
        <w:pStyle w:val="style0"/>
        <w:ind w:firstLine="420"/>
        <w:rPr>
          <w:rFonts w:ascii="宋体" w:eastAsia="宋体" w:hAnsi="宋体"/>
          <w:b/>
          <w:bCs/>
          <w:color w:val="000000"/>
          <w:szCs w:val="21"/>
        </w:rPr>
      </w:pPr>
      <w:r>
        <w:rPr>
          <w:rFonts w:ascii="宋体" w:eastAsia="宋体" w:hAnsi="宋体" w:hint="eastAsia"/>
          <w:b/>
          <w:bCs/>
          <w:color w:val="000000"/>
          <w:szCs w:val="21"/>
        </w:rPr>
        <w:t>三、网络平台参数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1、整体要求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1.1</w:t>
      </w:r>
      <w:r>
        <w:rPr>
          <w:rFonts w:ascii="宋体" w:eastAsia="宋体" w:hAnsi="宋体" w:hint="eastAsia"/>
          <w:color w:val="000000"/>
          <w:szCs w:val="21"/>
        </w:rPr>
        <w:t>支持动态心电图、动态血压、常规心电图，</w:t>
      </w:r>
      <w:r>
        <w:rPr>
          <w:rFonts w:ascii="宋体" w:eastAsia="宋体" w:hAnsi="宋体" w:hint="eastAsia"/>
          <w:color w:val="000000"/>
          <w:szCs w:val="21"/>
        </w:rPr>
        <w:t>具备多网合一</w:t>
      </w:r>
      <w:r>
        <w:rPr>
          <w:rFonts w:ascii="宋体" w:eastAsia="宋体" w:hAnsi="宋体" w:hint="eastAsia"/>
          <w:color w:val="000000"/>
          <w:szCs w:val="21"/>
        </w:rPr>
        <w:t>的功能。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</w:t>
      </w:r>
      <w:r>
        <w:rPr>
          <w:rFonts w:ascii="宋体" w:eastAsia="宋体" w:hAnsi="宋体" w:hint="eastAsia"/>
          <w:color w:val="000000"/>
          <w:szCs w:val="21"/>
        </w:rPr>
        <w:t>2应具备诊断医师身份认证功能以及电子签名功能。</w:t>
      </w:r>
    </w:p>
    <w:bookmarkStart w:id="6" w:name="_Toc17662"/>
    <w:bookmarkStart w:id="7" w:name="_Toc29082"/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.3近六年内，生产厂家无食药监部门的处罚记录</w:t>
      </w:r>
      <w:bookmarkEnd w:id="6"/>
      <w:bookmarkEnd w:id="7"/>
      <w:r>
        <w:rPr>
          <w:rFonts w:ascii="宋体" w:eastAsia="宋体" w:hAnsi="宋体" w:hint="eastAsia"/>
          <w:color w:val="000000"/>
          <w:szCs w:val="21"/>
        </w:rPr>
        <w:t>。</w:t>
      </w:r>
      <w:bookmarkStart w:id="8" w:name="_Toc3922"/>
      <w:bookmarkStart w:id="9" w:name="_Toc6820"/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.4所投产品心电网络系统及心电采集设备是同一厂家产品（心电网络系统与心电图采</w:t>
      </w:r>
      <w:r>
        <w:rPr>
          <w:rFonts w:ascii="宋体" w:eastAsia="宋体" w:hAnsi="宋体" w:hint="eastAsia"/>
          <w:color w:val="000000"/>
          <w:szCs w:val="21"/>
        </w:rPr>
        <w:t>集设备为同一品牌，以保证产品的延续与稳定），具有自主知识产权及持续升级能力，能够满足扩展新的临床应用需求。</w:t>
      </w:r>
      <w:bookmarkStart w:id="10" w:name="_Toc30870"/>
      <w:bookmarkStart w:id="11" w:name="_Toc26093"/>
      <w:bookmarkEnd w:id="8"/>
      <w:bookmarkEnd w:id="9"/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.</w:t>
      </w:r>
      <w:bookmarkEnd w:id="10"/>
      <w:r>
        <w:rPr>
          <w:rFonts w:ascii="宋体" w:eastAsia="宋体" w:hAnsi="宋体"/>
          <w:color w:val="000000"/>
          <w:szCs w:val="21"/>
        </w:rPr>
        <w:t>5</w:t>
      </w:r>
      <w:r>
        <w:rPr>
          <w:rFonts w:ascii="宋体" w:eastAsia="宋体" w:hAnsi="宋体" w:hint="eastAsia"/>
          <w:color w:val="000000"/>
          <w:szCs w:val="21"/>
        </w:rPr>
        <w:t>为保证系统功能的整体性和扩展性，心电网络系统能接入静态心电、动态心电、动态血压设备，实现设备原始数据在同一套系统的分析诊断，不以截屏、拷贝、拍照等方式获取片断数据。</w:t>
      </w:r>
      <w:bookmarkStart w:id="12" w:name="_Toc9885"/>
      <w:bookmarkStart w:id="13" w:name="_Toc9190"/>
      <w:bookmarkStart w:id="14" w:name="_Toc907"/>
      <w:bookmarkStart w:id="15" w:name="_Toc3523"/>
      <w:bookmarkStart w:id="16" w:name="_Toc12953"/>
      <w:bookmarkStart w:id="17" w:name="_Toc26611"/>
      <w:bookmarkEnd w:id="11"/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</w:rPr>
        <w:t>网络/系统安全</w:t>
      </w:r>
      <w:bookmarkEnd w:id="12"/>
      <w:bookmarkEnd w:id="13"/>
      <w:bookmarkEnd w:id="14"/>
      <w:bookmarkEnd w:id="15"/>
      <w:bookmarkEnd w:id="16"/>
      <w:bookmarkEnd w:id="17"/>
    </w:p>
    <w:bookmarkStart w:id="18" w:name="_Toc25977"/>
    <w:bookmarkStart w:id="19" w:name="_Toc6399"/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2.1具备权限管理功能，所有重要操作都可设置权限，且角色权限可自定义，不同角色可分别设置不同操作权限。</w:t>
      </w:r>
      <w:bookmarkEnd w:id="18"/>
      <w:bookmarkEnd w:id="19"/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2.2支持HTTPS加密传输，保证数据传输安全性。</w:t>
      </w:r>
    </w:p>
    <w:bookmarkStart w:id="20" w:name="_Toc27528"/>
    <w:bookmarkStart w:id="21" w:name="_Toc6771"/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2.3支持长时间未操作时自动退出软件，保护账户安全性。</w:t>
      </w:r>
      <w:bookmarkEnd w:id="20"/>
      <w:bookmarkEnd w:id="21"/>
    </w:p>
    <w:bookmarkStart w:id="22" w:name="_Toc21523"/>
    <w:bookmarkStart w:id="23" w:name="_Toc6774"/>
    <w:bookmarkStart w:id="24" w:name="_Toc6452"/>
    <w:bookmarkStart w:id="25" w:name="_Toc2613"/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3、</w:t>
      </w:r>
      <w:r>
        <w:rPr>
          <w:rFonts w:ascii="宋体" w:eastAsia="宋体" w:hAnsi="宋体" w:hint="eastAsia"/>
          <w:color w:val="000000"/>
          <w:szCs w:val="21"/>
        </w:rPr>
        <w:t>质控</w:t>
      </w:r>
      <w:bookmarkStart w:id="26" w:name="_Toc6030"/>
      <w:bookmarkEnd w:id="22"/>
      <w:bookmarkEnd w:id="23"/>
      <w:bookmarkEnd w:id="24"/>
      <w:bookmarkEnd w:id="25"/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3.</w:t>
      </w:r>
      <w:r>
        <w:rPr>
          <w:rFonts w:ascii="宋体" w:eastAsia="宋体" w:hAnsi="宋体" w:hint="eastAsia"/>
          <w:color w:val="000000"/>
          <w:szCs w:val="21"/>
        </w:rPr>
        <w:t>1支持危急值病例质控</w:t>
      </w:r>
      <w:bookmarkStart w:id="27" w:name="_Toc32294"/>
      <w:bookmarkEnd w:id="26"/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3.</w:t>
      </w:r>
      <w:r>
        <w:rPr>
          <w:rFonts w:ascii="宋体" w:eastAsia="宋体" w:hAnsi="宋体" w:hint="eastAsia"/>
          <w:color w:val="000000"/>
          <w:szCs w:val="21"/>
        </w:rPr>
        <w:t>2支持报告质量、报告时效质控</w:t>
      </w:r>
      <w:bookmarkEnd w:id="27"/>
    </w:p>
    <w:bookmarkStart w:id="28" w:name="_Toc23620"/>
    <w:bookmarkStart w:id="29" w:name="_Toc2529"/>
    <w:bookmarkStart w:id="30" w:name="_Toc17796"/>
    <w:bookmarkStart w:id="31" w:name="_Toc29122"/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4、</w:t>
      </w:r>
      <w:r>
        <w:rPr>
          <w:rFonts w:ascii="宋体" w:eastAsia="宋体" w:hAnsi="宋体" w:hint="eastAsia"/>
          <w:color w:val="000000"/>
          <w:szCs w:val="21"/>
        </w:rPr>
        <w:t>统计、收藏</w:t>
      </w:r>
      <w:bookmarkEnd w:id="28"/>
      <w:bookmarkEnd w:id="29"/>
      <w:bookmarkEnd w:id="30"/>
      <w:bookmarkEnd w:id="31"/>
    </w:p>
    <w:bookmarkStart w:id="32" w:name="_Toc9916"/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4.</w:t>
      </w:r>
      <w:r>
        <w:rPr>
          <w:rFonts w:ascii="宋体" w:eastAsia="宋体" w:hAnsi="宋体" w:hint="eastAsia"/>
          <w:color w:val="000000"/>
          <w:szCs w:val="21"/>
        </w:rPr>
        <w:t>1支持阳性报告统计、阳性率计算显示，可对多条件组合、各维度的申请单信息进行筛选统计</w:t>
      </w:r>
      <w:bookmarkStart w:id="33" w:name="_Toc18125"/>
      <w:bookmarkEnd w:id="32"/>
      <w:r>
        <w:rPr>
          <w:rFonts w:ascii="宋体" w:eastAsia="宋体" w:hAnsi="宋体" w:hint="eastAsia"/>
          <w:color w:val="000000"/>
          <w:szCs w:val="21"/>
        </w:rPr>
        <w:t>，统计结果可生成图表，导出Excel文件</w:t>
      </w:r>
      <w:bookmarkStart w:id="34" w:name="_Toc22553"/>
      <w:bookmarkEnd w:id="33"/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4.</w:t>
      </w:r>
      <w:r>
        <w:rPr>
          <w:rFonts w:ascii="宋体" w:eastAsia="宋体" w:hAnsi="宋体" w:hint="eastAsia"/>
          <w:color w:val="000000"/>
          <w:szCs w:val="21"/>
        </w:rPr>
        <w:t>2已收藏病例展示，可根据收藏类别进行筛选，可查看收藏病例的原始波形以及诊断信息，供学术研究、教学使用</w:t>
      </w:r>
      <w:bookmarkStart w:id="35" w:name="_Toc16363"/>
      <w:bookmarkEnd w:id="34"/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4.</w:t>
      </w:r>
      <w:r>
        <w:rPr>
          <w:rFonts w:ascii="宋体" w:eastAsia="宋体" w:hAnsi="宋体" w:hint="eastAsia"/>
          <w:color w:val="000000"/>
          <w:szCs w:val="21"/>
        </w:rPr>
        <w:t>3支持按照公共、科室、个人三种级别收藏</w:t>
      </w:r>
      <w:r>
        <w:rPr>
          <w:rFonts w:ascii="宋体" w:eastAsia="宋体" w:hAnsi="宋体" w:hint="eastAsia"/>
          <w:color w:val="000000"/>
          <w:szCs w:val="21"/>
          <w:lang w:eastAsia="zh-CN"/>
        </w:rPr>
        <w:t>。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4.</w:t>
      </w:r>
      <w:r>
        <w:rPr>
          <w:rFonts w:ascii="宋体" w:eastAsia="宋体" w:hAnsi="宋体" w:hint="eastAsia"/>
          <w:color w:val="000000"/>
          <w:szCs w:val="21"/>
        </w:rPr>
        <w:t>4支持</w:t>
      </w:r>
      <w:r>
        <w:rPr>
          <w:rFonts w:ascii="宋体" w:eastAsia="宋体" w:hAnsi="宋体" w:hint="eastAsia"/>
          <w:color w:val="000000"/>
          <w:szCs w:val="21"/>
        </w:rPr>
        <w:t>按照室早</w:t>
      </w:r>
      <w:r>
        <w:rPr>
          <w:rFonts w:ascii="宋体" w:eastAsia="宋体" w:hAnsi="宋体" w:hint="eastAsia"/>
          <w:color w:val="000000"/>
          <w:szCs w:val="21"/>
        </w:rPr>
        <w:t>、房早等诊断类别收藏</w:t>
      </w:r>
    </w:p>
    <w:p>
      <w:pPr>
        <w:pStyle w:val="style0"/>
        <w:ind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4.</w:t>
      </w:r>
      <w:r>
        <w:rPr>
          <w:rFonts w:ascii="宋体" w:eastAsia="宋体" w:hAnsi="宋体" w:hint="eastAsia"/>
          <w:color w:val="000000"/>
          <w:szCs w:val="21"/>
        </w:rPr>
        <w:t>5支持静态心电、动态心电、动态血压等类型收藏</w:t>
      </w:r>
      <w:bookmarkEnd w:id="0"/>
      <w:bookmarkEnd w:id="1"/>
      <w:bookmarkEnd w:id="2"/>
      <w:bookmarkEnd w:id="3"/>
      <w:bookmarkEnd w:id="4"/>
      <w:bookmarkEnd w:id="5"/>
      <w:bookmarkEnd w:id="35"/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D2F6B0E"/>
    <w:lvl w:ilvl="0">
      <w:start w:val="2"/>
      <w:numFmt w:val="decimal"/>
      <w:pStyle w:val="style1"/>
      <w:lvlText w:val="%1"/>
      <w:lvlJc w:val="left"/>
      <w:pPr>
        <w:ind w:left="432" w:hanging="432"/>
      </w:pPr>
      <w:rPr>
        <w:rFonts w:ascii="宋体" w:cs="宋体" w:eastAsia="宋体" w:hAnsi="宋体" w:hint="default"/>
      </w:rPr>
    </w:lvl>
    <w:lvl w:ilvl="1">
      <w:start w:val="1"/>
      <w:numFmt w:val="decimal"/>
      <w:pStyle w:val="style2"/>
      <w:lvlText w:val="%1.%2"/>
      <w:lvlJc w:val="left"/>
      <w:pPr>
        <w:ind w:left="575" w:hanging="575"/>
      </w:pPr>
      <w:rPr>
        <w:rFonts w:ascii="宋体" w:cs="宋体" w:eastAsia="宋体" w:hAnsi="宋体" w:hint="default"/>
      </w:rPr>
    </w:lvl>
    <w:lvl w:ilvl="2">
      <w:start w:val="1"/>
      <w:numFmt w:val="decimal"/>
      <w:pStyle w:val="style3"/>
      <w:lvlText w:val="%1.%2.%3"/>
      <w:lvlJc w:val="left"/>
      <w:pPr/>
      <w:rPr>
        <w:rFonts w:ascii="Times New Roman" w:cs="Times New Roman" w:hAnsi="Times New Roman"/>
        <w:b w:val="false"/>
        <w:bCs w:val="false"/>
        <w:i w:val="false"/>
        <w:iCs w:val="false"/>
        <w:caps w:val="false"/>
        <w:smallCaps w:val="false"/>
        <w:snapToGrid w:val="false"/>
        <w:vanish w:val="false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ky="0" w14:dir="0" w14:kx="0" w14:algn="none" w14:sy="0" w14:sx="0" w14:dist="0">
          <w14:srgbClr w14:val="000000"/>
        </w14:shadow>
        <w14:textOutline>
          <w14:noFil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46"/>
    <w:qFormat/>
    <w:pPr>
      <w:widowControl w:val="false"/>
      <w:jc w:val="both"/>
    </w:pPr>
    <w:rPr>
      <w:rFonts w:ascii="Calibri" w:cs="宋体" w:hAnsi="Calibri"/>
      <w:kern w:val="2"/>
      <w:sz w:val="21"/>
      <w:szCs w:val="24"/>
    </w:rPr>
  </w:style>
  <w:style w:type="paragraph" w:styleId="style1">
    <w:name w:val="heading 1"/>
    <w:basedOn w:val="style0"/>
    <w:next w:val="style0"/>
    <w:qFormat/>
    <w:pPr>
      <w:keepNext/>
      <w:keepLines/>
      <w:numPr>
        <w:ilvl w:val="0"/>
        <w:numId w:val="1"/>
      </w:numPr>
      <w:spacing w:before="340" w:after="330" w:lineRule="auto" w:line="576"/>
      <w:outlineLvl w:val="0"/>
    </w:pPr>
    <w:rPr>
      <w:b/>
      <w:kern w:val="44"/>
      <w:sz w:val="44"/>
    </w:rPr>
  </w:style>
  <w:style w:type="paragraph" w:styleId="style2">
    <w:name w:val="heading 2"/>
    <w:basedOn w:val="style0"/>
    <w:next w:val="style0"/>
    <w:qFormat/>
    <w:pPr>
      <w:keepNext/>
      <w:keepLines/>
      <w:numPr>
        <w:ilvl w:val="1"/>
        <w:numId w:val="1"/>
      </w:numPr>
      <w:spacing w:before="260" w:after="260" w:lineRule="auto" w:line="413"/>
      <w:outlineLvl w:val="1"/>
    </w:pPr>
    <w:rPr>
      <w:rFonts w:ascii="Arial" w:hAnsi="Arial"/>
      <w:b/>
    </w:rPr>
  </w:style>
  <w:style w:type="paragraph" w:styleId="style3">
    <w:name w:val="heading 3"/>
    <w:basedOn w:val="style0"/>
    <w:next w:val="style0"/>
    <w:qFormat/>
    <w:pPr>
      <w:keepNext/>
      <w:keepLines/>
      <w:numPr>
        <w:ilvl w:val="2"/>
        <w:numId w:val="1"/>
      </w:numPr>
      <w:spacing w:before="260" w:after="260" w:lineRule="auto" w:line="413"/>
      <w:outlineLvl w:val="2"/>
    </w:pPr>
    <w:rPr>
      <w:b/>
    </w:rPr>
  </w:style>
  <w:style w:type="paragraph" w:styleId="style4">
    <w:name w:val="heading 4"/>
    <w:basedOn w:val="style0"/>
    <w:next w:val="style0"/>
    <w:qFormat/>
    <w:pPr>
      <w:keepNext/>
      <w:keepLines/>
      <w:spacing w:before="280" w:after="290" w:lineRule="auto" w:line="372"/>
      <w:outlineLvl w:val="3"/>
    </w:pPr>
    <w:rPr>
      <w:rFonts w:ascii="Arial" w:eastAsia="黑体" w:hAnsi="Arial"/>
      <w:b/>
      <w:sz w:val="28"/>
    </w:rPr>
  </w:style>
  <w:style w:type="paragraph" w:styleId="style5">
    <w:name w:val="heading 5"/>
    <w:basedOn w:val="style0"/>
    <w:next w:val="style0"/>
    <w:link w:val="style4107"/>
    <w:qFormat/>
    <w:pPr>
      <w:keepNext/>
      <w:keepLines/>
      <w:spacing w:before="280" w:after="290" w:lineRule="auto" w:line="376"/>
      <w:outlineLvl w:val="4"/>
    </w:pPr>
    <w:rPr>
      <w:b/>
      <w:bCs/>
      <w:sz w:val="28"/>
      <w:szCs w:val="28"/>
    </w:rPr>
  </w:style>
  <w:style w:type="paragraph" w:styleId="style6">
    <w:name w:val="heading 6"/>
    <w:basedOn w:val="style0"/>
    <w:next w:val="style0"/>
    <w:link w:val="style4108"/>
    <w:qFormat/>
    <w:pPr>
      <w:keepNext/>
      <w:keepLines/>
      <w:spacing w:before="240" w:after="64" w:lineRule="auto" w:line="320"/>
      <w:outlineLvl w:val="5"/>
    </w:pPr>
    <w:rPr>
      <w:rFonts w:ascii="Calibri Light" w:cs="宋体" w:eastAsia="宋体" w:hAnsi="Calibri Light"/>
      <w:b/>
      <w:bCs/>
      <w:sz w:val="24"/>
    </w:rPr>
  </w:style>
  <w:style w:type="paragraph" w:styleId="style7">
    <w:name w:val="heading 7"/>
    <w:basedOn w:val="style0"/>
    <w:next w:val="style0"/>
    <w:link w:val="style4109"/>
    <w:qFormat/>
    <w:pPr>
      <w:keepNext/>
      <w:keepLines/>
      <w:spacing w:before="240" w:after="64" w:lineRule="auto" w:line="320"/>
      <w:outlineLvl w:val="6"/>
    </w:pPr>
    <w:rPr>
      <w:b/>
      <w:bCs/>
      <w:sz w:val="24"/>
    </w:rPr>
  </w:style>
  <w:style w:type="paragraph" w:styleId="style8">
    <w:name w:val="heading 8"/>
    <w:basedOn w:val="style0"/>
    <w:next w:val="style0"/>
    <w:link w:val="style4110"/>
    <w:qFormat/>
    <w:pPr>
      <w:keepNext/>
      <w:keepLines/>
      <w:spacing w:before="240" w:after="64" w:lineRule="auto" w:line="320"/>
      <w:outlineLvl w:val="7"/>
    </w:pPr>
    <w:rPr>
      <w:rFonts w:ascii="Calibri Light" w:cs="宋体" w:eastAsia="宋体" w:hAnsi="Calibri Light"/>
      <w:sz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46">
    <w:name w:val="toa heading"/>
    <w:basedOn w:val="style0"/>
    <w:next w:val="style0"/>
    <w:qFormat/>
    <w:pPr>
      <w:spacing w:before="120"/>
    </w:pPr>
    <w:rPr>
      <w:rFonts w:ascii="Arial" w:hAnsi="Arial"/>
      <w:sz w:val="24"/>
    </w:rPr>
  </w:style>
  <w:style w:type="paragraph" w:styleId="style89">
    <w:name w:val="Document Map"/>
    <w:basedOn w:val="style0"/>
    <w:next w:val="style89"/>
    <w:link w:val="style4104"/>
    <w:qFormat/>
    <w:pPr/>
    <w:rPr>
      <w:rFonts w:ascii="宋体"/>
      <w:sz w:val="18"/>
      <w:szCs w:val="18"/>
    </w:rPr>
  </w:style>
  <w:style w:type="paragraph" w:styleId="style30">
    <w:name w:val="annotation text"/>
    <w:basedOn w:val="style0"/>
    <w:next w:val="style30"/>
    <w:link w:val="style4098"/>
    <w:qFormat/>
    <w:pPr>
      <w:jc w:val="left"/>
    </w:pPr>
    <w:rPr/>
  </w:style>
  <w:style w:type="paragraph" w:styleId="style153">
    <w:name w:val="Balloon Text"/>
    <w:basedOn w:val="style0"/>
    <w:next w:val="style153"/>
    <w:link w:val="style4100"/>
    <w:qFormat/>
    <w:pPr/>
    <w:rPr>
      <w:sz w:val="18"/>
      <w:szCs w:val="18"/>
    </w:rPr>
  </w:style>
  <w:style w:type="paragraph" w:styleId="style32">
    <w:name w:val="footer"/>
    <w:basedOn w:val="style0"/>
    <w:next w:val="style32"/>
    <w:link w:val="style4106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105"/>
    <w:qFormat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94">
    <w:name w:val="Normal (Web)"/>
    <w:basedOn w:val="style0"/>
    <w:next w:val="style94"/>
    <w:qFormat/>
    <w:pPr/>
    <w:rPr>
      <w:sz w:val="24"/>
    </w:rPr>
  </w:style>
  <w:style w:type="paragraph" w:styleId="style106">
    <w:name w:val="annotation subject"/>
    <w:basedOn w:val="style30"/>
    <w:next w:val="style30"/>
    <w:link w:val="style4099"/>
    <w:qFormat/>
    <w:pPr/>
    <w:rPr>
      <w:b/>
      <w:bCs/>
    </w:rPr>
  </w:style>
  <w:style w:type="table" w:styleId="style154">
    <w:name w:val="Table Grid"/>
    <w:basedOn w:val="style105"/>
    <w:next w:val="style154"/>
    <w:qFormat/>
    <w:uiPriority w:val="3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styleId="style39">
    <w:name w:val="annotation reference"/>
    <w:basedOn w:val="style65"/>
    <w:next w:val="style39"/>
    <w:qFormat/>
    <w:rPr>
      <w:sz w:val="21"/>
      <w:szCs w:val="21"/>
    </w:rPr>
  </w:style>
  <w:style w:type="paragraph" w:customStyle="1" w:styleId="style4097">
    <w:name w:val="列出段落1"/>
    <w:basedOn w:val="style0"/>
    <w:next w:val="style4097"/>
    <w:qFormat/>
    <w:uiPriority w:val="34"/>
    <w:pPr>
      <w:ind w:firstLine="420" w:firstLineChars="200"/>
    </w:pPr>
    <w:rPr/>
  </w:style>
  <w:style w:type="character" w:customStyle="1" w:styleId="style4098">
    <w:name w:val="批注文字 字符"/>
    <w:basedOn w:val="style65"/>
    <w:next w:val="style4098"/>
    <w:link w:val="style30"/>
    <w:qFormat/>
    <w:rPr>
      <w:rFonts w:eastAsia="宋体"/>
      <w:kern w:val="2"/>
      <w:sz w:val="21"/>
      <w:szCs w:val="24"/>
    </w:rPr>
  </w:style>
  <w:style w:type="character" w:customStyle="1" w:styleId="style4099">
    <w:name w:val="批注主题 字符"/>
    <w:basedOn w:val="style4098"/>
    <w:next w:val="style4099"/>
    <w:link w:val="style106"/>
    <w:qFormat/>
    <w:rPr>
      <w:rFonts w:eastAsia="宋体"/>
      <w:b/>
      <w:bCs/>
      <w:kern w:val="2"/>
      <w:sz w:val="21"/>
      <w:szCs w:val="24"/>
    </w:rPr>
  </w:style>
  <w:style w:type="character" w:customStyle="1" w:styleId="style4100">
    <w:name w:val="批注框文本 字符"/>
    <w:basedOn w:val="style65"/>
    <w:next w:val="style4100"/>
    <w:link w:val="style153"/>
    <w:qFormat/>
    <w:rPr>
      <w:rFonts w:eastAsia="宋体"/>
      <w:kern w:val="2"/>
      <w:sz w:val="18"/>
      <w:szCs w:val="18"/>
    </w:rPr>
  </w:style>
  <w:style w:type="paragraph" w:customStyle="1" w:styleId="style4101">
    <w:name w:val="列出段落2"/>
    <w:basedOn w:val="style0"/>
    <w:next w:val="style4101"/>
    <w:qFormat/>
    <w:uiPriority w:val="34"/>
    <w:pPr>
      <w:ind w:firstLine="420" w:firstLineChars="200"/>
    </w:pPr>
    <w:rPr/>
  </w:style>
  <w:style w:type="paragraph" w:customStyle="1" w:styleId="style4102">
    <w:name w:val="列出段落3"/>
    <w:basedOn w:val="style0"/>
    <w:next w:val="style4102"/>
    <w:qFormat/>
    <w:uiPriority w:val="99"/>
    <w:pPr>
      <w:ind w:firstLine="420" w:firstLineChars="200"/>
    </w:pPr>
    <w:rPr/>
  </w:style>
  <w:style w:type="paragraph" w:customStyle="1" w:styleId="style4103">
    <w:name w:val="Default"/>
    <w:basedOn w:val="style0"/>
    <w:next w:val="style4103"/>
    <w:qFormat/>
    <w:pPr>
      <w:autoSpaceDE w:val="false"/>
      <w:autoSpaceDN w:val="false"/>
      <w:adjustRightInd w:val="false"/>
      <w:jc w:val="left"/>
    </w:pPr>
    <w:rPr>
      <w:rFonts w:ascii="宋体" w:cs="宋体" w:hAnsi="宋体"/>
      <w:color w:val="000000"/>
      <w:kern w:val="0"/>
      <w:sz w:val="24"/>
    </w:rPr>
  </w:style>
  <w:style w:type="paragraph" w:styleId="style179">
    <w:name w:val="List Paragraph"/>
    <w:basedOn w:val="style0"/>
    <w:next w:val="style179"/>
    <w:qFormat/>
    <w:uiPriority w:val="99"/>
    <w:pPr>
      <w:ind w:firstLine="420" w:firstLineChars="200"/>
    </w:pPr>
    <w:rPr/>
  </w:style>
  <w:style w:type="character" w:customStyle="1" w:styleId="style4104">
    <w:name w:val="文档结构图 字符"/>
    <w:basedOn w:val="style65"/>
    <w:next w:val="style4104"/>
    <w:link w:val="style89"/>
    <w:qFormat/>
    <w:rPr>
      <w:rFonts w:ascii="宋体" w:cs="宋体" w:hAnsi="Calibri"/>
      <w:kern w:val="2"/>
      <w:sz w:val="18"/>
      <w:szCs w:val="18"/>
    </w:rPr>
  </w:style>
  <w:style w:type="character" w:customStyle="1" w:styleId="style4105">
    <w:name w:val="页眉 字符"/>
    <w:basedOn w:val="style65"/>
    <w:next w:val="style4105"/>
    <w:link w:val="style31"/>
    <w:qFormat/>
    <w:rPr>
      <w:rFonts w:ascii="Calibri" w:cs="宋体" w:hAnsi="Calibri"/>
      <w:kern w:val="2"/>
      <w:sz w:val="18"/>
      <w:szCs w:val="18"/>
    </w:rPr>
  </w:style>
  <w:style w:type="character" w:customStyle="1" w:styleId="style4106">
    <w:name w:val="页脚 字符"/>
    <w:basedOn w:val="style65"/>
    <w:next w:val="style4106"/>
    <w:link w:val="style32"/>
    <w:qFormat/>
    <w:rPr>
      <w:rFonts w:ascii="Calibri" w:cs="宋体" w:hAnsi="Calibri"/>
      <w:kern w:val="2"/>
      <w:sz w:val="18"/>
      <w:szCs w:val="18"/>
    </w:rPr>
  </w:style>
  <w:style w:type="character" w:customStyle="1" w:styleId="style4107">
    <w:name w:val="标题 5 字符"/>
    <w:basedOn w:val="style65"/>
    <w:next w:val="style4107"/>
    <w:link w:val="style5"/>
    <w:qFormat/>
    <w:rPr>
      <w:rFonts w:ascii="Calibri" w:cs="宋体" w:hAnsi="Calibri"/>
      <w:b/>
      <w:bCs/>
      <w:kern w:val="2"/>
      <w:sz w:val="28"/>
      <w:szCs w:val="28"/>
    </w:rPr>
  </w:style>
  <w:style w:type="character" w:customStyle="1" w:styleId="style4108">
    <w:name w:val="标题 6 字符"/>
    <w:basedOn w:val="style65"/>
    <w:next w:val="style4108"/>
    <w:link w:val="style6"/>
    <w:qFormat/>
    <w:rPr>
      <w:rFonts w:ascii="Calibri Light" w:cs="宋体" w:eastAsia="宋体" w:hAnsi="Calibri Light"/>
      <w:b/>
      <w:bCs/>
      <w:kern w:val="2"/>
      <w:sz w:val="24"/>
      <w:szCs w:val="24"/>
    </w:rPr>
  </w:style>
  <w:style w:type="character" w:customStyle="1" w:styleId="style4109">
    <w:name w:val="标题 7 字符"/>
    <w:basedOn w:val="style65"/>
    <w:next w:val="style4109"/>
    <w:link w:val="style7"/>
    <w:qFormat/>
    <w:rPr>
      <w:rFonts w:ascii="Calibri" w:cs="宋体" w:hAnsi="Calibri"/>
      <w:b/>
      <w:bCs/>
      <w:kern w:val="2"/>
      <w:sz w:val="24"/>
      <w:szCs w:val="24"/>
    </w:rPr>
  </w:style>
  <w:style w:type="character" w:customStyle="1" w:styleId="style4110">
    <w:name w:val="标题 8 字符"/>
    <w:basedOn w:val="style65"/>
    <w:next w:val="style4110"/>
    <w:link w:val="style8"/>
    <w:qFormat/>
    <w:rPr>
      <w:rFonts w:ascii="Calibri Light" w:cs="宋体" w:eastAsia="宋体" w:hAnsi="Calibri Light"/>
      <w:kern w:val="2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Words>1308</Words>
  <Pages>1</Pages>
  <Characters>1523</Characters>
  <Application>WPS Office</Application>
  <DocSecurity>0</DocSecurity>
  <Paragraphs>53</Paragraphs>
  <ScaleCrop>false</ScaleCrop>
  <LinksUpToDate>false</LinksUpToDate>
  <CharactersWithSpaces>1573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2023-02-27T07:15:00Z</dcterms:created>
  <dc:creator>ya</dc:creator>
  <lastModifiedBy>V2162A</lastModifiedBy>
  <dcterms:modified xsi:type="dcterms:W3CDTF">2023-02-28T05:09:08Z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3232565A555949FB9CCD8194C728383A</vt:lpwstr>
  </property>
</Properties>
</file>